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807" w:rsidRDefault="001C3807" w:rsidP="001C3807">
      <w:pPr>
        <w:tabs>
          <w:tab w:val="num" w:pos="720"/>
        </w:tabs>
        <w:ind w:right="299"/>
        <w:jc w:val="both"/>
        <w:rPr>
          <w:rFonts w:ascii="Arial" w:hAnsi="Arial" w:cs="Arial"/>
          <w:sz w:val="20"/>
          <w:szCs w:val="20"/>
        </w:rPr>
      </w:pPr>
    </w:p>
    <w:p w:rsidR="001C3807" w:rsidRDefault="001C3807" w:rsidP="001C3807">
      <w:pPr>
        <w:tabs>
          <w:tab w:val="num" w:pos="720"/>
        </w:tabs>
        <w:ind w:right="29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OBLIGACIÓN 1.</w:t>
      </w:r>
    </w:p>
    <w:p w:rsidR="001C3807" w:rsidRDefault="001C3807" w:rsidP="001C3807">
      <w:pPr>
        <w:tabs>
          <w:tab w:val="num" w:pos="720"/>
        </w:tabs>
        <w:ind w:right="299"/>
        <w:jc w:val="both"/>
        <w:rPr>
          <w:rFonts w:ascii="Arial" w:hAnsi="Arial" w:cs="Arial"/>
          <w:sz w:val="20"/>
          <w:szCs w:val="20"/>
        </w:rPr>
      </w:pPr>
    </w:p>
    <w:p w:rsidR="001C3807" w:rsidRDefault="001C3807" w:rsidP="001C3807">
      <w:pPr>
        <w:tabs>
          <w:tab w:val="num" w:pos="720"/>
        </w:tabs>
        <w:ind w:right="299"/>
        <w:jc w:val="both"/>
        <w:rPr>
          <w:rFonts w:ascii="Arial" w:hAnsi="Arial" w:cs="Arial"/>
          <w:sz w:val="20"/>
          <w:szCs w:val="20"/>
        </w:rPr>
      </w:pPr>
      <w:bookmarkStart w:id="0" w:name="_GoBack"/>
      <w:r w:rsidRPr="00D547CD">
        <w:rPr>
          <w:noProof/>
        </w:rPr>
        <w:drawing>
          <wp:inline distT="0" distB="0" distL="0" distR="0" wp14:anchorId="68CEC46E" wp14:editId="5F52A54C">
            <wp:extent cx="5054600" cy="2653716"/>
            <wp:effectExtent l="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0682" cy="2656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C3807" w:rsidRDefault="001C3807" w:rsidP="001C3807">
      <w:pPr>
        <w:tabs>
          <w:tab w:val="num" w:pos="720"/>
        </w:tabs>
        <w:ind w:right="299"/>
        <w:jc w:val="both"/>
        <w:rPr>
          <w:rFonts w:ascii="Arial" w:hAnsi="Arial" w:cs="Arial"/>
          <w:sz w:val="20"/>
          <w:szCs w:val="20"/>
        </w:rPr>
      </w:pPr>
    </w:p>
    <w:p w:rsidR="001C3807" w:rsidRPr="00D547CD" w:rsidRDefault="001C3807" w:rsidP="001C3807">
      <w:pPr>
        <w:tabs>
          <w:tab w:val="num" w:pos="720"/>
        </w:tabs>
        <w:ind w:right="299"/>
        <w:jc w:val="both"/>
        <w:rPr>
          <w:rFonts w:ascii="Arial" w:hAnsi="Arial" w:cs="Arial"/>
          <w:sz w:val="20"/>
          <w:szCs w:val="20"/>
        </w:rPr>
      </w:pPr>
      <w:r w:rsidRPr="00D547CD">
        <w:rPr>
          <w:rFonts w:ascii="Arial" w:hAnsi="Arial" w:cs="Arial"/>
          <w:sz w:val="20"/>
          <w:szCs w:val="20"/>
        </w:rPr>
        <w:t>Se participó en</w:t>
      </w:r>
      <w:r w:rsidRPr="00D547CD">
        <w:t xml:space="preserve"> </w:t>
      </w:r>
      <w:r w:rsidRPr="00D547CD">
        <w:rPr>
          <w:rFonts w:ascii="Arial" w:hAnsi="Arial" w:cs="Arial"/>
          <w:sz w:val="20"/>
          <w:szCs w:val="20"/>
        </w:rPr>
        <w:t xml:space="preserve">sesión "Seguimiento con Bancos No. 094 -Créditos CM - (Informe 6 - Cronograma general </w:t>
      </w:r>
      <w:proofErr w:type="spellStart"/>
      <w:r w:rsidRPr="00D547CD">
        <w:rPr>
          <w:rFonts w:ascii="Arial" w:hAnsi="Arial" w:cs="Arial"/>
          <w:sz w:val="20"/>
          <w:szCs w:val="20"/>
        </w:rPr>
        <w:t>comp.</w:t>
      </w:r>
      <w:proofErr w:type="spellEnd"/>
      <w:r w:rsidRPr="00D547CD">
        <w:rPr>
          <w:rFonts w:ascii="Arial" w:hAnsi="Arial" w:cs="Arial"/>
          <w:sz w:val="20"/>
          <w:szCs w:val="20"/>
        </w:rPr>
        <w:t xml:space="preserve"> 1 al 4 corte octubre). El informe No 6 de cronograma general con corte a octubre de 2025 sobre el Catastro Multipropósito muestra que el avance consolidado del proyecto alcanza un cumplimiento del 66% frente al 78% esperado, con componentes en diferentes niveles de progreso, destacando que el fortalecimiento institucional está en 63% frente a 95% esperado, el fortalecimiento tecnológico en 78% frente a 83%, la implementación territorial en 44% frente a 77%, la administración y gestión en 78% frente a 84% y el componente ambiental en 60% frente a 78%, evidenciando rezagos en varias áreas; se resalta que el Sistema Nacional Catastral avanza en su desarrollo con prototipos y pruebas funcionales, mientras que el Repositorio de Datos Maestros fue desplegado y presentado oficialmente en octubre aunque aún requiere ajustes de infraestructura en la SNR; en cuanto a la actualización catastral se reportan más de 7,2 millones de hectáreas con información actualizada y 69.438 predios incorporados al sistema, con avances diferenciados por operadores como </w:t>
      </w:r>
      <w:proofErr w:type="spellStart"/>
      <w:r w:rsidRPr="00D547CD">
        <w:rPr>
          <w:rFonts w:ascii="Arial" w:hAnsi="Arial" w:cs="Arial"/>
          <w:sz w:val="20"/>
          <w:szCs w:val="20"/>
        </w:rPr>
        <w:t>Telespazio</w:t>
      </w:r>
      <w:proofErr w:type="spellEnd"/>
      <w:r w:rsidRPr="00D547CD">
        <w:rPr>
          <w:rFonts w:ascii="Arial" w:hAnsi="Arial" w:cs="Arial"/>
          <w:sz w:val="20"/>
          <w:szCs w:val="20"/>
        </w:rPr>
        <w:t xml:space="preserve"> y EXP en municipios de Boyacá, Meta, Huila y Sucre, aunque algunos productos han sido devueltos por no conformidad; la ANT reporta avances en planes de ordenamiento social de la propiedad rural y en la titulación con enfoque de género, con más de 6.400 casos enrutados y 1.662 predios titulados bajo perspectiva de género; finalmente se identifican alertas como incumplimientos de calidad en lotes de SERESCO y falta de inicio operativo en municipios a cargo de FAO, lo que obliga a implementar planes de choque y seguimiento detallado para garantizar el cumplimiento de metas en el marco del crédito BM, BID y cooperación internacional.</w:t>
      </w:r>
    </w:p>
    <w:p w:rsidR="001C3807" w:rsidRPr="00D547CD" w:rsidRDefault="001C3807" w:rsidP="001C3807">
      <w:pPr>
        <w:tabs>
          <w:tab w:val="num" w:pos="720"/>
        </w:tabs>
        <w:ind w:right="299"/>
        <w:jc w:val="both"/>
        <w:rPr>
          <w:rFonts w:ascii="Arial" w:hAnsi="Arial" w:cs="Arial"/>
          <w:sz w:val="20"/>
          <w:szCs w:val="20"/>
        </w:rPr>
      </w:pPr>
    </w:p>
    <w:p w:rsidR="001C3807" w:rsidRPr="00D547CD" w:rsidRDefault="001C3807" w:rsidP="001C3807">
      <w:pPr>
        <w:tabs>
          <w:tab w:val="num" w:pos="720"/>
        </w:tabs>
        <w:ind w:right="299"/>
        <w:jc w:val="both"/>
        <w:rPr>
          <w:rFonts w:ascii="Arial" w:hAnsi="Arial" w:cs="Arial"/>
          <w:sz w:val="20"/>
          <w:szCs w:val="20"/>
        </w:rPr>
      </w:pPr>
    </w:p>
    <w:p w:rsidR="001C3807" w:rsidRDefault="001C3807"/>
    <w:sectPr w:rsidR="001C3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807"/>
    <w:rsid w:val="001C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59D35"/>
  <w15:chartTrackingRefBased/>
  <w15:docId w15:val="{D6D917C4-148D-4489-BD74-4AB47FDF4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3807"/>
    <w:rPr>
      <w:rFonts w:ascii="Calibri" w:eastAsia="Calibri" w:hAnsi="Calibri" w:cs="Times New Roman"/>
      <w:kern w:val="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2025-11-25T16:07:00Z</dcterms:created>
  <dcterms:modified xsi:type="dcterms:W3CDTF">2025-11-25T16:10:00Z</dcterms:modified>
</cp:coreProperties>
</file>